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120" w:line="300" w:lineRule="auto"/>
      </w:pPr>
      <w:r>
        <w:rPr>
          <w:rFonts w:ascii="Calibri" w:hAnsi="Calibri"/>
          <w:b/>
          <w:i w:val="0"/>
          <w:color w:val="BD7B47"/>
          <w:sz w:val="18"/>
        </w:rPr>
        <w:t>AMAZON SELLER APPEAL WORKBOOK</w:t>
      </w:r>
    </w:p>
    <w:p>
      <w:pPr>
        <w:pStyle w:val="Title"/>
        <w:keepNext w:val="0"/>
        <w:spacing w:before="0" w:after="100" w:line="240" w:lineRule="auto"/>
      </w:pPr>
      <w:r>
        <w:rPr>
          <w:rFonts w:ascii="Calibri" w:hAnsi="Calibri"/>
          <w:b/>
          <w:i w:val="0"/>
          <w:color w:val="111318"/>
          <w:sz w:val="56"/>
        </w:rPr>
        <w:t>Plan of Action Template</w:t>
      </w:r>
    </w:p>
    <w:p>
      <w:pPr>
        <w:pStyle w:val="Subtitle"/>
        <w:keepNext w:val="0"/>
        <w:spacing w:before="0" w:after="280" w:line="300" w:lineRule="auto"/>
      </w:pPr>
      <w:r>
        <w:rPr>
          <w:rFonts w:ascii="Calibri" w:hAnsi="Calibri"/>
          <w:b w:val="0"/>
          <w:i w:val="0"/>
          <w:color w:val="5F6673"/>
          <w:sz w:val="26"/>
        </w:rPr>
        <w:t>Root cause  |  Corrective actions  |  Preventive measures</w:t>
      </w:r>
    </w:p>
    <w:p>
      <w:pPr>
        <w:keepNext w:val="0"/>
        <w:spacing w:before="0" w:after="240" w:line="300" w:lineRule="auto"/>
        <w:ind w:left="216" w:right="216"/>
        <w:shd w:fill="F3F4F6"/>
      </w:pPr>
      <w:r>
        <w:rPr>
          <w:rFonts w:ascii="Calibri" w:hAnsi="Calibri"/>
          <w:b/>
          <w:i w:val="0"/>
          <w:color w:val="111318"/>
          <w:sz w:val="21"/>
        </w:rPr>
        <w:t>Use this only when Amazon requests a Plan of Action. Follow the exact notice, marketplace and submission route shown in Seller Central. Replace every writing prompt with verified facts; never invent evidence or copy the examples as case facts.</w:t>
      </w:r>
    </w:p>
    <w:p>
      <w:pPr>
        <w:pStyle w:val="Heading1"/>
        <w:keepNext/>
      </w:pPr>
      <w:r>
        <w:t>Before you draft</w:t>
      </w:r>
    </w:p>
    <w:p>
      <w:pPr>
        <w:pStyle w:val="ListBullet"/>
        <w:spacing w:after="80" w:line="300" w:lineRule="auto"/>
      </w:pPr>
      <w:r>
        <w:rPr>
          <w:rFonts w:ascii="Calibri" w:hAnsi="Calibri"/>
          <w:b/>
          <w:i w:val="0"/>
          <w:color w:val="111318"/>
          <w:sz w:val="22"/>
        </w:rPr>
        <w:t xml:space="preserve">Notice / violation: </w:t>
      </w:r>
      <w:r>
        <w:rPr>
          <w:rFonts w:ascii="Calibri" w:hAnsi="Calibri"/>
          <w:b w:val="0"/>
          <w:i w:val="0"/>
          <w:color w:val="202124"/>
          <w:sz w:val="22"/>
        </w:rPr>
        <w:t>Paste the exact issue name and reference shown in the current notification.</w:t>
      </w:r>
    </w:p>
    <w:p>
      <w:pPr>
        <w:pStyle w:val="ListBullet"/>
        <w:spacing w:after="80" w:line="300" w:lineRule="auto"/>
      </w:pPr>
      <w:r>
        <w:rPr>
          <w:rFonts w:ascii="Calibri" w:hAnsi="Calibri"/>
          <w:b/>
          <w:i w:val="0"/>
          <w:color w:val="111318"/>
          <w:sz w:val="22"/>
        </w:rPr>
        <w:t xml:space="preserve">Marketplace: </w:t>
      </w:r>
      <w:r>
        <w:rPr>
          <w:rFonts w:ascii="Calibri" w:hAnsi="Calibri"/>
          <w:b w:val="0"/>
          <w:i w:val="0"/>
          <w:color w:val="202124"/>
          <w:sz w:val="22"/>
        </w:rPr>
        <w:t>Name the store covered by this response.</w:t>
      </w:r>
    </w:p>
    <w:p>
      <w:pPr>
        <w:pStyle w:val="ListBullet"/>
        <w:spacing w:after="80" w:line="300" w:lineRule="auto"/>
      </w:pPr>
      <w:r>
        <w:rPr>
          <w:rFonts w:ascii="Calibri" w:hAnsi="Calibri"/>
          <w:b/>
          <w:i w:val="0"/>
          <w:color w:val="111318"/>
          <w:sz w:val="22"/>
        </w:rPr>
        <w:t xml:space="preserve">Affected ASINs, orders or account area: </w:t>
      </w:r>
      <w:r>
        <w:rPr>
          <w:rFonts w:ascii="Calibri" w:hAnsi="Calibri"/>
          <w:b w:val="0"/>
          <w:i w:val="0"/>
          <w:color w:val="202124"/>
          <w:sz w:val="22"/>
        </w:rPr>
        <w:t>List only identifiers relevant to this notice.</w:t>
      </w:r>
    </w:p>
    <w:p>
      <w:pPr>
        <w:pStyle w:val="ListBullet"/>
        <w:spacing w:after="80" w:line="300" w:lineRule="auto"/>
      </w:pPr>
      <w:r>
        <w:rPr>
          <w:rFonts w:ascii="Calibri" w:hAnsi="Calibri"/>
          <w:b/>
          <w:i w:val="0"/>
          <w:color w:val="111318"/>
          <w:sz w:val="22"/>
        </w:rPr>
        <w:t xml:space="preserve">Submission deadline and route: </w:t>
      </w:r>
      <w:r>
        <w:rPr>
          <w:rFonts w:ascii="Calibri" w:hAnsi="Calibri"/>
          <w:b w:val="0"/>
          <w:i w:val="0"/>
          <w:color w:val="202124"/>
          <w:sz w:val="22"/>
        </w:rPr>
        <w:t>Record the date and the button or workflow named by Amazon.</w:t>
      </w:r>
    </w:p>
    <w:p>
      <w:pPr>
        <w:pStyle w:val="ListBullet"/>
        <w:spacing w:after="80" w:line="300" w:lineRule="auto"/>
      </w:pPr>
      <w:r>
        <w:rPr>
          <w:rFonts w:ascii="Calibri" w:hAnsi="Calibri"/>
          <w:b/>
          <w:i w:val="0"/>
          <w:color w:val="111318"/>
          <w:sz w:val="22"/>
        </w:rPr>
        <w:t xml:space="preserve">Evidence available: </w:t>
      </w:r>
      <w:r>
        <w:rPr>
          <w:rFonts w:ascii="Calibri" w:hAnsi="Calibri"/>
          <w:b w:val="0"/>
          <w:i w:val="0"/>
          <w:color w:val="202124"/>
          <w:sz w:val="22"/>
        </w:rPr>
        <w:t>List genuine attachments and what each one proves.</w:t>
      </w:r>
    </w:p>
    <w:p>
      <w:pPr>
        <w:pStyle w:val="Heading1"/>
        <w:keepNext/>
      </w:pPr>
      <w:r>
        <w:t>The three-part logic</w:t>
      </w:r>
    </w:p>
    <w:p>
      <w:pPr>
        <w:keepNext w:val="0"/>
        <w:spacing w:before="0" w:after="80" w:line="300" w:lineRule="auto"/>
        <w:jc w:val="center"/>
        <w:shd w:fill="111318"/>
      </w:pPr>
      <w:r>
        <w:rPr>
          <w:rFonts w:ascii="Calibri" w:hAnsi="Calibri"/>
          <w:b/>
          <w:i w:val="0"/>
          <w:color w:val="FFFFFF"/>
          <w:sz w:val="20"/>
        </w:rPr>
        <w:t>1  ROOT CAUSE  -  Why the specific issue occurred</w:t>
      </w:r>
    </w:p>
    <w:p>
      <w:pPr>
        <w:keepNext w:val="0"/>
        <w:spacing w:before="0" w:after="80" w:line="300" w:lineRule="auto"/>
        <w:jc w:val="center"/>
      </w:pPr>
      <w:r>
        <w:rPr>
          <w:rFonts w:ascii="Calibri" w:hAnsi="Calibri"/>
          <w:b/>
          <w:i w:val="0"/>
          <w:color w:val="BD7B47"/>
          <w:sz w:val="20"/>
        </w:rPr>
        <w:t>↓</w:t>
      </w:r>
    </w:p>
    <w:p>
      <w:pPr>
        <w:keepNext w:val="0"/>
        <w:spacing w:before="0" w:after="80" w:line="300" w:lineRule="auto"/>
        <w:jc w:val="center"/>
        <w:shd w:fill="111318"/>
      </w:pPr>
      <w:r>
        <w:rPr>
          <w:rFonts w:ascii="Calibri" w:hAnsi="Calibri"/>
          <w:b/>
          <w:i w:val="0"/>
          <w:color w:val="FFFFFF"/>
          <w:sz w:val="20"/>
        </w:rPr>
        <w:t>2  CORRECTIVE ACTIONS  -  What you did about this incident</w:t>
      </w:r>
    </w:p>
    <w:p>
      <w:pPr>
        <w:keepNext w:val="0"/>
        <w:spacing w:before="0" w:after="80" w:line="300" w:lineRule="auto"/>
        <w:jc w:val="center"/>
      </w:pPr>
      <w:r>
        <w:rPr>
          <w:rFonts w:ascii="Calibri" w:hAnsi="Calibri"/>
          <w:b/>
          <w:i w:val="0"/>
          <w:color w:val="BD7B47"/>
          <w:sz w:val="20"/>
        </w:rPr>
        <w:t>↓</w:t>
      </w:r>
    </w:p>
    <w:p>
      <w:pPr>
        <w:keepNext w:val="0"/>
        <w:spacing w:before="0" w:after="80" w:line="300" w:lineRule="auto"/>
        <w:jc w:val="center"/>
        <w:shd w:fill="BD7B47"/>
      </w:pPr>
      <w:r>
        <w:rPr>
          <w:rFonts w:ascii="Calibri" w:hAnsi="Calibri"/>
          <w:b/>
          <w:i w:val="0"/>
          <w:color w:val="FFFFFF"/>
          <w:sz w:val="20"/>
        </w:rPr>
        <w:t>3  PREVENTIVE MEASURES  -  What changed so the verified cause is controlled</w:t>
      </w:r>
    </w:p>
    <w:p>
      <w:r>
        <w:br w:type="page"/>
      </w:r>
    </w:p>
    <w:p>
      <w:pPr>
        <w:pStyle w:val="Heading1"/>
        <w:keepNext/>
      </w:pPr>
      <w:r>
        <w:t>1. Root cause</w:t>
      </w:r>
    </w:p>
    <w:p>
      <w:pPr>
        <w:keepNext w:val="0"/>
        <w:spacing w:before="0" w:after="160" w:line="300" w:lineRule="auto"/>
      </w:pPr>
      <w:r>
        <w:rPr>
          <w:rFonts w:ascii="Calibri" w:hAnsi="Calibri"/>
          <w:b w:val="0"/>
          <w:i w:val="0"/>
          <w:color w:val="202124"/>
          <w:sz w:val="22"/>
        </w:rPr>
        <w:t>State the verified cause behind the issue. Explain the process gap, decision or event—not just the violation label. Separate facts from anything still under investigation.</w:t>
      </w:r>
    </w:p>
    <w:p>
      <w:pPr>
        <w:pStyle w:val="Heading2"/>
        <w:keepNext/>
        <w:spacing w:before="80" w:after="20" w:line="300" w:lineRule="auto"/>
      </w:pPr>
      <w:r>
        <w:rPr>
          <w:rFonts w:ascii="Calibri" w:hAnsi="Calibri"/>
          <w:b/>
          <w:i w:val="0"/>
          <w:color w:val="111318"/>
          <w:sz w:val="22"/>
        </w:rPr>
        <w:t>What happened?</w:t>
      </w:r>
    </w:p>
    <w:p>
      <w:pPr>
        <w:keepNext w:val="0"/>
        <w:spacing w:before="0" w:after="60" w:line="300" w:lineRule="auto"/>
      </w:pPr>
      <w:r>
        <w:rPr>
          <w:rFonts w:ascii="Calibri" w:hAnsi="Calibri"/>
          <w:b w:val="0"/>
          <w:i w:val="0"/>
          <w:color w:val="5F6673"/>
          <w:sz w:val="19"/>
        </w:rPr>
        <w:t>State the issue and affected identifiers exactly.</w:t>
      </w:r>
    </w:p>
    <w:p>
      <w:pPr>
        <w:keepNext w:val="0"/>
        <w:spacing w:before="0" w:after="100" w:line="300" w:lineRule="auto"/>
      </w:pPr>
      <w:r>
        <w:rPr>
          <w:rFonts w:ascii="Calibri" w:hAnsi="Calibri"/>
          <w:b w:val="0"/>
          <w:i w:val="0"/>
          <w:color w:val="A1A6AE"/>
          <w:sz w:val="20"/>
        </w:rPr>
        <w:t>________________________________________________________________________________</w:t>
      </w:r>
    </w:p>
    <w:p>
      <w:pPr>
        <w:keepNext w:val="0"/>
        <w:spacing w:before="0" w:after="100" w:line="300" w:lineRule="auto"/>
      </w:pPr>
      <w:r>
        <w:rPr>
          <w:rFonts w:ascii="Calibri" w:hAnsi="Calibri"/>
          <w:b w:val="0"/>
          <w:i w:val="0"/>
          <w:color w:val="A1A6AE"/>
          <w:sz w:val="20"/>
        </w:rPr>
        <w:t>________________________________________________________________________________</w:t>
      </w:r>
    </w:p>
    <w:p>
      <w:pPr>
        <w:pStyle w:val="Heading2"/>
        <w:keepNext/>
        <w:spacing w:before="80" w:after="20" w:line="300" w:lineRule="auto"/>
      </w:pPr>
      <w:r>
        <w:rPr>
          <w:rFonts w:ascii="Calibri" w:hAnsi="Calibri"/>
          <w:b/>
          <w:i w:val="0"/>
          <w:color w:val="111318"/>
          <w:sz w:val="22"/>
        </w:rPr>
        <w:t>Why did it happen?</w:t>
      </w:r>
    </w:p>
    <w:p>
      <w:pPr>
        <w:keepNext w:val="0"/>
        <w:spacing w:before="0" w:after="60" w:line="300" w:lineRule="auto"/>
      </w:pPr>
      <w:r>
        <w:rPr>
          <w:rFonts w:ascii="Calibri" w:hAnsi="Calibri"/>
          <w:b w:val="0"/>
          <w:i w:val="0"/>
          <w:color w:val="5F6673"/>
          <w:sz w:val="19"/>
        </w:rPr>
        <w:t>Trace the cause to the first controllable process failure. Add relevant dates and responsible role.</w:t>
      </w:r>
    </w:p>
    <w:p>
      <w:pPr>
        <w:keepNext w:val="0"/>
        <w:spacing w:before="0" w:after="100" w:line="300" w:lineRule="auto"/>
      </w:pPr>
      <w:r>
        <w:rPr>
          <w:rFonts w:ascii="Calibri" w:hAnsi="Calibri"/>
          <w:b w:val="0"/>
          <w:i w:val="0"/>
          <w:color w:val="A1A6AE"/>
          <w:sz w:val="20"/>
        </w:rPr>
        <w:t>________________________________________________________________________________</w:t>
      </w:r>
    </w:p>
    <w:p>
      <w:pPr>
        <w:keepNext w:val="0"/>
        <w:spacing w:before="0" w:after="100" w:line="300" w:lineRule="auto"/>
      </w:pPr>
      <w:r>
        <w:rPr>
          <w:rFonts w:ascii="Calibri" w:hAnsi="Calibri"/>
          <w:b w:val="0"/>
          <w:i w:val="0"/>
          <w:color w:val="A1A6AE"/>
          <w:sz w:val="20"/>
        </w:rPr>
        <w:t>________________________________________________________________________________</w:t>
      </w:r>
    </w:p>
    <w:p>
      <w:pPr>
        <w:keepNext w:val="0"/>
        <w:spacing w:before="0" w:after="100" w:line="300" w:lineRule="auto"/>
      </w:pPr>
      <w:r>
        <w:rPr>
          <w:rFonts w:ascii="Calibri" w:hAnsi="Calibri"/>
          <w:b w:val="0"/>
          <w:i w:val="0"/>
          <w:color w:val="A1A6AE"/>
          <w:sz w:val="20"/>
        </w:rPr>
        <w:t>________________________________________________________________________________</w:t>
      </w:r>
    </w:p>
    <w:p>
      <w:pPr>
        <w:pStyle w:val="Heading2"/>
        <w:keepNext/>
        <w:spacing w:before="80" w:after="20" w:line="300" w:lineRule="auto"/>
      </w:pPr>
      <w:r>
        <w:rPr>
          <w:rFonts w:ascii="Calibri" w:hAnsi="Calibri"/>
          <w:b/>
          <w:i w:val="0"/>
          <w:color w:val="111318"/>
          <w:sz w:val="22"/>
        </w:rPr>
        <w:t>What evidence supports this explanation?</w:t>
      </w:r>
    </w:p>
    <w:p>
      <w:pPr>
        <w:keepNext w:val="0"/>
        <w:spacing w:before="0" w:after="60" w:line="300" w:lineRule="auto"/>
      </w:pPr>
      <w:r>
        <w:rPr>
          <w:rFonts w:ascii="Calibri" w:hAnsi="Calibri"/>
          <w:b w:val="0"/>
          <w:i w:val="0"/>
          <w:color w:val="5F6673"/>
          <w:sz w:val="19"/>
        </w:rPr>
        <w:t>Name each genuine attachment or account record and the fact it supports.</w:t>
      </w:r>
    </w:p>
    <w:p>
      <w:pPr>
        <w:keepNext w:val="0"/>
        <w:spacing w:before="0" w:after="100" w:line="300" w:lineRule="auto"/>
      </w:pPr>
      <w:r>
        <w:rPr>
          <w:rFonts w:ascii="Calibri" w:hAnsi="Calibri"/>
          <w:b w:val="0"/>
          <w:i w:val="0"/>
          <w:color w:val="A1A6AE"/>
          <w:sz w:val="20"/>
        </w:rPr>
        <w:t>________________________________________________________________________________</w:t>
      </w:r>
    </w:p>
    <w:p>
      <w:pPr>
        <w:keepNext w:val="0"/>
        <w:spacing w:before="0" w:after="100" w:line="300" w:lineRule="auto"/>
      </w:pPr>
      <w:r>
        <w:rPr>
          <w:rFonts w:ascii="Calibri" w:hAnsi="Calibri"/>
          <w:b w:val="0"/>
          <w:i w:val="0"/>
          <w:color w:val="A1A6AE"/>
          <w:sz w:val="20"/>
        </w:rPr>
        <w:t>________________________________________________________________________________</w:t>
      </w:r>
    </w:p>
    <w:p>
      <w:pPr>
        <w:pStyle w:val="Heading1"/>
        <w:keepNext/>
      </w:pPr>
      <w:r>
        <w:t>2. Corrective actions completed</w:t>
      </w:r>
    </w:p>
    <w:p>
      <w:pPr>
        <w:keepNext w:val="0"/>
        <w:spacing w:before="0" w:after="160" w:line="300" w:lineRule="auto"/>
      </w:pPr>
      <w:r>
        <w:rPr>
          <w:rFonts w:ascii="Calibri" w:hAnsi="Calibri"/>
          <w:b w:val="0"/>
          <w:i w:val="0"/>
          <w:color w:val="202124"/>
          <w:sz w:val="22"/>
        </w:rPr>
        <w:t>Describe actions already taken to address the immediate issue. Use dates, owners and affected identifiers. Do not present planned work as completed.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520"/>
        <w:gridCol w:w="1440"/>
        <w:gridCol w:w="1800"/>
        <w:gridCol w:w="3600"/>
      </w:tblGrid>
      <w:tr>
        <w:trPr>
          <w:tblHeader w:val="true"/>
        </w:trPr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11318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Completed action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11318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Date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11318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Owner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11318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Evidence / result</w:t>
            </w:r>
          </w:p>
        </w:tc>
      </w:tr>
      <w:tr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</w:tr>
      <w:tr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</w:tr>
      <w:tr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3. Preventive measures</w:t>
      </w:r>
    </w:p>
    <w:p>
      <w:pPr>
        <w:keepNext w:val="0"/>
        <w:spacing w:before="0" w:after="160" w:line="300" w:lineRule="auto"/>
      </w:pPr>
      <w:r>
        <w:rPr>
          <w:rFonts w:ascii="Calibri" w:hAnsi="Calibri"/>
          <w:b w:val="0"/>
          <w:i w:val="0"/>
          <w:color w:val="202124"/>
          <w:sz w:val="22"/>
        </w:rPr>
        <w:t>Connect every measure to a verified root cause. Define an owner, frequency or trigger, and a record that can demonstrate the control is operating.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1620"/>
        <w:gridCol w:w="1620"/>
        <w:gridCol w:w="3420"/>
      </w:tblGrid>
      <w:tr>
        <w:trPr>
          <w:tblHeader w:val="true"/>
        </w:trP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D7B47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Process / control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D7B47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Owner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D7B47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Frequency / trigger</w:t>
            </w:r>
          </w:p>
        </w:tc>
        <w:tc>
          <w:tcPr>
            <w:tcW w:type="dxa" w:w="34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D7B47"/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Record retained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34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34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34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16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  <w:tc>
          <w:tcPr>
            <w:tcW w:type="dxa" w:w="34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>
              <w:rPr>
                <w:rFonts w:ascii="Calibri" w:hAnsi="Calibri"/>
                <w:b w:val="0"/>
                <w:i/>
                <w:color w:val="5F6673"/>
                <w:sz w:val="18"/>
              </w:rPr>
              <w:t>Enter verified detail</w:t>
            </w:r>
          </w:p>
        </w:tc>
      </w:tr>
    </w:tbl>
    <w:p>
      <w:pPr>
        <w:pStyle w:val="Heading1"/>
        <w:keepNext/>
      </w:pPr>
      <w:r>
        <w:t>Final review</w:t>
      </w:r>
    </w:p>
    <w:p>
      <w:pPr>
        <w:pStyle w:val="ListBullet"/>
        <w:spacing w:after="80" w:line="300" w:lineRule="auto"/>
      </w:pPr>
      <w:r>
        <w:rPr>
          <w:rFonts w:ascii="Calibri" w:hAnsi="Calibri"/>
          <w:b w:val="0"/>
          <w:i w:val="0"/>
          <w:color w:val="202124"/>
          <w:sz w:val="20"/>
        </w:rPr>
        <w:t>Every sentence answers this notice, not a different violation.</w:t>
      </w:r>
    </w:p>
    <w:p>
      <w:pPr>
        <w:pStyle w:val="ListBullet"/>
        <w:spacing w:after="80" w:line="300" w:lineRule="auto"/>
      </w:pPr>
      <w:r>
        <w:rPr>
          <w:rFonts w:ascii="Calibri" w:hAnsi="Calibri"/>
          <w:b w:val="0"/>
          <w:i w:val="0"/>
          <w:color w:val="202124"/>
          <w:sz w:val="20"/>
        </w:rPr>
        <w:t>The root cause explains how the issue occurred.</w:t>
      </w:r>
    </w:p>
    <w:p>
      <w:pPr>
        <w:pStyle w:val="ListBullet"/>
        <w:spacing w:after="80" w:line="300" w:lineRule="auto"/>
      </w:pPr>
      <w:r>
        <w:rPr>
          <w:rFonts w:ascii="Calibri" w:hAnsi="Calibri"/>
          <w:b w:val="0"/>
          <w:i w:val="0"/>
          <w:color w:val="202124"/>
          <w:sz w:val="20"/>
        </w:rPr>
        <w:t>Corrective actions are complete and supported where evidence is requested.</w:t>
      </w:r>
    </w:p>
    <w:p>
      <w:pPr>
        <w:pStyle w:val="ListBullet"/>
        <w:spacing w:after="80" w:line="300" w:lineRule="auto"/>
      </w:pPr>
      <w:r>
        <w:rPr>
          <w:rFonts w:ascii="Calibri" w:hAnsi="Calibri"/>
          <w:b w:val="0"/>
          <w:i w:val="0"/>
          <w:color w:val="202124"/>
          <w:sz w:val="20"/>
        </w:rPr>
        <w:t>Preventive measures directly control the stated root cause.</w:t>
      </w:r>
    </w:p>
    <w:p>
      <w:pPr>
        <w:pStyle w:val="ListBullet"/>
        <w:spacing w:after="80" w:line="300" w:lineRule="auto"/>
      </w:pPr>
      <w:r>
        <w:rPr>
          <w:rFonts w:ascii="Calibri" w:hAnsi="Calibri"/>
          <w:b w:val="0"/>
          <w:i w:val="0"/>
          <w:color w:val="202124"/>
          <w:sz w:val="20"/>
        </w:rPr>
        <w:t>Names, dates, ASINs, orders and attachment labels are consistent.</w:t>
      </w:r>
    </w:p>
    <w:p>
      <w:pPr>
        <w:pStyle w:val="ListBullet"/>
        <w:spacing w:after="80" w:line="300" w:lineRule="auto"/>
      </w:pPr>
      <w:r>
        <w:rPr>
          <w:rFonts w:ascii="Calibri" w:hAnsi="Calibri"/>
          <w:b w:val="0"/>
          <w:i w:val="0"/>
          <w:color w:val="202124"/>
          <w:sz w:val="20"/>
        </w:rPr>
        <w:t>No fabricated facts, altered documents, passwords or unnecessary sensitive data are included.</w:t>
      </w:r>
    </w:p>
    <w:p>
      <w:pPr>
        <w:pStyle w:val="ListBullet"/>
        <w:spacing w:after="80" w:line="300" w:lineRule="auto"/>
      </w:pPr>
      <w:r>
        <w:rPr>
          <w:rFonts w:ascii="Calibri" w:hAnsi="Calibri"/>
          <w:b w:val="0"/>
          <w:i w:val="0"/>
          <w:color w:val="202124"/>
          <w:sz w:val="20"/>
        </w:rPr>
        <w:t>The response follows the submission route and file requirements in Seller Central.</w:t>
      </w:r>
    </w:p>
    <w:p>
      <w:pPr>
        <w:pStyle w:val="Heading1"/>
        <w:keepNext/>
      </w:pPr>
      <w:r>
        <w:t>Sources and limits</w:t>
      </w:r>
    </w:p>
    <w:p>
      <w:pPr>
        <w:keepNext w:val="0"/>
        <w:spacing w:before="0" w:after="80" w:line="300" w:lineRule="auto"/>
      </w:pPr>
      <w:r>
        <w:rPr>
          <w:rFonts w:ascii="Calibri" w:hAnsi="Calibri"/>
          <w:b w:val="0"/>
          <w:i w:val="0"/>
          <w:color w:val="5F6673"/>
          <w:sz w:val="19"/>
        </w:rPr>
        <w:t>This Dastan working template reflects Amazon's public three-part appeal guidance: root cause, corrective measures and preventive measures. Requirements vary by violation, marketplace and notice. This template does not guarantee reinstatement and is not legal advice.</w:t>
      </w:r>
    </w:p>
    <w:p>
      <w:pPr>
        <w:keepNext w:val="0"/>
        <w:spacing w:before="0" w:after="80" w:line="300" w:lineRule="auto"/>
      </w:pPr>
      <w:r>
        <w:rPr>
          <w:rFonts w:ascii="Calibri" w:hAnsi="Calibri"/>
          <w:b w:val="0"/>
          <w:i w:val="0"/>
          <w:color w:val="5F6673"/>
          <w:sz w:val="18"/>
        </w:rPr>
        <w:t>Public source checked 3 September 2026: Amazon Seller Forums, “Writing an Amazon Account Health appeal”. Always check the current Performance Notifications and Account Health instructions in your own account; account-specific instructions were not verified for this template.</w:t>
      </w:r>
    </w:p>
    <w:p>
      <w:pPr>
        <w:keepNext w:val="0"/>
        <w:spacing w:before="0" w:after="0" w:line="300" w:lineRule="auto"/>
      </w:pPr>
      <w:r>
        <w:rPr>
          <w:rFonts w:ascii="Calibri" w:hAnsi="Calibri"/>
          <w:b w:val="0"/>
          <w:i w:val="0"/>
          <w:color w:val="5F6673"/>
          <w:sz w:val="18"/>
        </w:rPr>
        <w:t>Source: sellercentral.amazon.com/seller-forums/discussions/t/2a2a4bce-7015-4844-a832-368e3345207c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F6673"/>
        <w:sz w:val="16"/>
      </w:rPr>
      <w:t>Agency-authored working template  |  dastan.uk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i w:val="0"/>
        <w:color w:val="5F6673"/>
        <w:sz w:val="17"/>
      </w:rPr>
      <w:t>DASTAN  |  AMAZON SELLER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540"/>
        </w:tabs>
        <w:ind w:left="540" w:hanging="271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540"/>
        </w:tabs>
        <w:ind w:left="540" w:hanging="271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71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540"/>
        </w:tabs>
        <w:ind w:left="540" w:hanging="271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540"/>
        </w:tabs>
        <w:ind w:left="540" w:hanging="271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540"/>
        </w:tabs>
        <w:ind w:left="540" w:hanging="271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540"/>
        </w:tabs>
        <w:ind w:left="540" w:hanging="271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 w:before="0"/>
    </w:pPr>
    <w:rPr>
      <w:rFonts w:ascii="Calibri" w:hAnsi="Calibri"/>
      <w:color w:val="2021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BD7B4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1131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1131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11318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80" w:line="300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F66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Amazon Plan of Action Template</dc:title>
  <dc:subject>Agency-authored root cause, corrective action and preventive measures workbook</dc:subject>
  <dc:creator>Dastan Amazon Services</dc:creator>
  <cp:keywords>Amazon Plan of Action, seller appeal, root cause, corrective action, preventive measures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